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68F" w:rsidRPr="0047768F" w:rsidRDefault="0047768F" w:rsidP="0047768F">
      <w:pPr>
        <w:keepNext/>
        <w:tabs>
          <w:tab w:val="num" w:pos="2844"/>
        </w:tabs>
        <w:snapToGrid w:val="0"/>
        <w:spacing w:before="240" w:after="120" w:line="264" w:lineRule="auto"/>
        <w:outlineLvl w:val="1"/>
        <w:rPr>
          <w:b/>
          <w:bCs/>
          <w:sz w:val="24"/>
          <w:szCs w:val="22"/>
          <w:lang w:val="en-GB" w:eastAsia="en-US"/>
        </w:rPr>
      </w:pPr>
      <w:bookmarkStart w:id="0" w:name="_Toc421819089"/>
      <w:bookmarkStart w:id="1" w:name="_Ref419786461"/>
      <w:r w:rsidRPr="0047768F">
        <w:rPr>
          <w:b/>
          <w:bCs/>
          <w:sz w:val="24"/>
          <w:szCs w:val="22"/>
          <w:lang w:val="en-GB" w:eastAsia="en-US"/>
        </w:rPr>
        <w:t>Excel-worksheets for model calculations</w:t>
      </w:r>
      <w:bookmarkEnd w:id="0"/>
      <w:bookmarkEnd w:id="1"/>
    </w:p>
    <w:p w:rsidR="0047768F" w:rsidRPr="0047768F" w:rsidRDefault="0047768F" w:rsidP="0047768F">
      <w:pPr>
        <w:spacing w:line="264" w:lineRule="auto"/>
        <w:rPr>
          <w:lang w:val="en-GB" w:eastAsia="en-US"/>
        </w:rPr>
      </w:pPr>
    </w:p>
    <w:p w:rsidR="0047768F" w:rsidRPr="0047768F" w:rsidRDefault="0047768F" w:rsidP="0047768F">
      <w:pPr>
        <w:spacing w:line="264" w:lineRule="auto"/>
      </w:pPr>
      <w:r w:rsidRPr="0047768F">
        <w:t>You find worksheets for model calculations on the website</w:t>
      </w:r>
      <w:r>
        <w:t xml:space="preserve">. </w:t>
      </w:r>
      <w:r w:rsidRPr="0047768F">
        <w:t>All worksheets have a similar format:</w:t>
      </w:r>
    </w:p>
    <w:p w:rsidR="0047768F" w:rsidRPr="0047768F" w:rsidRDefault="0047768F" w:rsidP="0047768F">
      <w:pPr>
        <w:numPr>
          <w:ilvl w:val="0"/>
          <w:numId w:val="8"/>
        </w:numPr>
        <w:spacing w:line="264" w:lineRule="auto"/>
        <w:contextualSpacing/>
      </w:pPr>
      <w:r w:rsidRPr="0047768F">
        <w:t xml:space="preserve">In a </w:t>
      </w:r>
      <w:r w:rsidRPr="0047768F">
        <w:rPr>
          <w:highlight w:val="green"/>
        </w:rPr>
        <w:t>green field</w:t>
      </w:r>
      <w:r w:rsidRPr="0047768F">
        <w:t xml:space="preserve"> you find the relevant equations.</w:t>
      </w:r>
    </w:p>
    <w:p w:rsidR="0047768F" w:rsidRPr="0047768F" w:rsidRDefault="0047768F" w:rsidP="0047768F">
      <w:pPr>
        <w:numPr>
          <w:ilvl w:val="0"/>
          <w:numId w:val="8"/>
        </w:numPr>
        <w:spacing w:line="264" w:lineRule="auto"/>
        <w:contextualSpacing/>
      </w:pPr>
      <w:r w:rsidRPr="0047768F">
        <w:t xml:space="preserve">Input data (matrix and fluid properties) must be typed into </w:t>
      </w:r>
      <w:r w:rsidRPr="0047768F">
        <w:rPr>
          <w:highlight w:val="yellow"/>
        </w:rPr>
        <w:t>yellow fields</w:t>
      </w:r>
      <w:r w:rsidRPr="0047768F">
        <w:t>. Some recommended values are in a table. You can also use your own input parameters.</w:t>
      </w:r>
    </w:p>
    <w:p w:rsidR="0047768F" w:rsidRPr="0047768F" w:rsidRDefault="0047768F" w:rsidP="0047768F">
      <w:pPr>
        <w:numPr>
          <w:ilvl w:val="0"/>
          <w:numId w:val="8"/>
        </w:numPr>
        <w:spacing w:line="264" w:lineRule="auto"/>
        <w:contextualSpacing/>
      </w:pPr>
      <w:r w:rsidRPr="0047768F">
        <w:t xml:space="preserve">Variables in the calculation area are in a </w:t>
      </w:r>
      <w:r w:rsidRPr="0047768F">
        <w:rPr>
          <w:highlight w:val="lightGray"/>
        </w:rPr>
        <w:t>grey field</w:t>
      </w:r>
      <w:r w:rsidRPr="0047768F">
        <w:t xml:space="preserve">. Variables are, for example, porosity or aspect ratio. You can also modify the values of the variables. </w:t>
      </w:r>
    </w:p>
    <w:p w:rsidR="0047768F" w:rsidRPr="0047768F" w:rsidRDefault="0047768F" w:rsidP="0047768F">
      <w:pPr>
        <w:numPr>
          <w:ilvl w:val="0"/>
          <w:numId w:val="8"/>
        </w:numPr>
        <w:spacing w:line="264" w:lineRule="auto"/>
        <w:contextualSpacing/>
      </w:pPr>
      <w:r w:rsidRPr="0047768F">
        <w:t>The white fields are calculation cells and results.</w:t>
      </w:r>
    </w:p>
    <w:p w:rsidR="0047768F" w:rsidRPr="0047768F" w:rsidRDefault="0047768F" w:rsidP="0047768F">
      <w:pPr>
        <w:numPr>
          <w:ilvl w:val="0"/>
          <w:numId w:val="8"/>
        </w:numPr>
        <w:spacing w:line="264" w:lineRule="auto"/>
        <w:contextualSpacing/>
      </w:pPr>
      <w:r w:rsidRPr="0047768F">
        <w:t>The graphical presentation of the calculated data is at the lower end.</w:t>
      </w:r>
    </w:p>
    <w:p w:rsidR="0047768F" w:rsidRPr="0047768F" w:rsidRDefault="0047768F" w:rsidP="0047768F">
      <w:pPr>
        <w:spacing w:line="264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930"/>
      </w:tblGrid>
      <w:tr w:rsidR="0047768F" w:rsidRPr="0047768F" w:rsidTr="0047768F">
        <w:trPr>
          <w:trHeight w:val="562"/>
        </w:trPr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68F" w:rsidRPr="0047768F" w:rsidRDefault="0047768F" w:rsidP="0047768F">
            <w:pPr>
              <w:spacing w:line="264" w:lineRule="auto"/>
              <w:rPr>
                <w:b/>
                <w:bCs/>
              </w:rPr>
            </w:pPr>
            <w:r w:rsidRPr="0047768F">
              <w:rPr>
                <w:b/>
                <w:bCs/>
              </w:rPr>
              <w:t>Elastic-mechanical</w:t>
            </w:r>
          </w:p>
        </w:tc>
      </w:tr>
      <w:tr w:rsidR="0047768F" w:rsidRPr="0047768F" w:rsidTr="0047768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68F" w:rsidRPr="0047768F" w:rsidRDefault="0047768F" w:rsidP="0047768F">
            <w:pPr>
              <w:spacing w:line="264" w:lineRule="auto"/>
              <w:rPr>
                <w:sz w:val="20"/>
              </w:rPr>
            </w:pPr>
            <w:r w:rsidRPr="0047768F">
              <w:rPr>
                <w:sz w:val="20"/>
              </w:rPr>
              <w:t>Bound models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8F" w:rsidRPr="0047768F" w:rsidRDefault="0047768F" w:rsidP="0047768F">
            <w:pPr>
              <w:spacing w:line="264" w:lineRule="auto"/>
              <w:rPr>
                <w:sz w:val="20"/>
              </w:rPr>
            </w:pPr>
            <w:proofErr w:type="spellStart"/>
            <w:r w:rsidRPr="0047768F">
              <w:rPr>
                <w:b/>
                <w:sz w:val="20"/>
              </w:rPr>
              <w:t>Voigt_Reuss_Hashin</w:t>
            </w:r>
            <w:proofErr w:type="spellEnd"/>
            <w:r w:rsidRPr="0047768F">
              <w:rPr>
                <w:b/>
                <w:sz w:val="20"/>
              </w:rPr>
              <w:t>:</w:t>
            </w:r>
            <w:r w:rsidRPr="0047768F">
              <w:rPr>
                <w:sz w:val="20"/>
              </w:rPr>
              <w:t xml:space="preserve"> For a two-component layered model (solid, fluid) the elastic moduli (compressional modulus, shear modulus) are calculated as function of fluid volume fraction (porosity) based on the model of Voigt (upper bound) and </w:t>
            </w:r>
            <w:proofErr w:type="spellStart"/>
            <w:r w:rsidRPr="0047768F">
              <w:rPr>
                <w:sz w:val="20"/>
              </w:rPr>
              <w:t>Reuss</w:t>
            </w:r>
            <w:proofErr w:type="spellEnd"/>
            <w:r w:rsidRPr="0047768F">
              <w:rPr>
                <w:sz w:val="20"/>
              </w:rPr>
              <w:t xml:space="preserve"> (lower bound), and the Voigt-</w:t>
            </w:r>
            <w:proofErr w:type="spellStart"/>
            <w:r w:rsidRPr="0047768F">
              <w:rPr>
                <w:sz w:val="20"/>
              </w:rPr>
              <w:t>Reuss</w:t>
            </w:r>
            <w:proofErr w:type="spellEnd"/>
            <w:r w:rsidRPr="0047768F">
              <w:rPr>
                <w:sz w:val="20"/>
              </w:rPr>
              <w:t xml:space="preserve">-Hill mean value. For the same two-component model, the </w:t>
            </w:r>
            <w:proofErr w:type="spellStart"/>
            <w:r w:rsidRPr="0047768F">
              <w:rPr>
                <w:sz w:val="20"/>
              </w:rPr>
              <w:t>Hashin-Shtrikman</w:t>
            </w:r>
            <w:proofErr w:type="spellEnd"/>
            <w:r w:rsidRPr="0047768F">
              <w:rPr>
                <w:sz w:val="20"/>
              </w:rPr>
              <w:t xml:space="preserve"> upper and lower bounds are calculated.</w:t>
            </w:r>
          </w:p>
        </w:tc>
      </w:tr>
      <w:tr w:rsidR="0047768F" w:rsidRPr="0047768F" w:rsidTr="0047768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68F" w:rsidRPr="0047768F" w:rsidRDefault="0047768F" w:rsidP="0047768F">
            <w:pPr>
              <w:spacing w:line="264" w:lineRule="auto"/>
              <w:rPr>
                <w:sz w:val="20"/>
              </w:rPr>
            </w:pPr>
            <w:r w:rsidRPr="0047768F">
              <w:rPr>
                <w:sz w:val="20"/>
              </w:rPr>
              <w:t>Inclusion isotropic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8F" w:rsidRPr="0047768F" w:rsidRDefault="0047768F" w:rsidP="0047768F">
            <w:pPr>
              <w:spacing w:line="264" w:lineRule="auto"/>
              <w:rPr>
                <w:sz w:val="20"/>
              </w:rPr>
            </w:pPr>
            <w:proofErr w:type="spellStart"/>
            <w:r w:rsidRPr="0047768F">
              <w:rPr>
                <w:b/>
                <w:sz w:val="20"/>
              </w:rPr>
              <w:t>Kuster_Toksöz</w:t>
            </w:r>
            <w:proofErr w:type="spellEnd"/>
            <w:r w:rsidRPr="0047768F">
              <w:rPr>
                <w:b/>
                <w:sz w:val="20"/>
              </w:rPr>
              <w:t>:</w:t>
            </w:r>
            <w:r w:rsidRPr="0047768F">
              <w:rPr>
                <w:sz w:val="20"/>
              </w:rPr>
              <w:t xml:space="preserve"> Calculation of normalized compressional and shear wave velocity for a two component material (solid, fluid) as function of porosity. Two models are used: Inclusions are spheres and inclusions are penny shaped cracks. Calculations for gas and water filled inclusion.</w:t>
            </w:r>
          </w:p>
          <w:p w:rsidR="0047768F" w:rsidRPr="0047768F" w:rsidRDefault="0047768F" w:rsidP="0047768F">
            <w:pPr>
              <w:spacing w:line="264" w:lineRule="auto"/>
              <w:rPr>
                <w:sz w:val="20"/>
              </w:rPr>
            </w:pPr>
            <w:proofErr w:type="spellStart"/>
            <w:r w:rsidRPr="0047768F">
              <w:rPr>
                <w:b/>
                <w:sz w:val="20"/>
              </w:rPr>
              <w:t>Budiansky</w:t>
            </w:r>
            <w:proofErr w:type="spellEnd"/>
            <w:r w:rsidRPr="0047768F">
              <w:rPr>
                <w:b/>
                <w:sz w:val="20"/>
              </w:rPr>
              <w:t>:</w:t>
            </w:r>
            <w:r w:rsidRPr="0047768F">
              <w:rPr>
                <w:sz w:val="20"/>
              </w:rPr>
              <w:t xml:space="preserve"> Calculation of compressional and shear wave velocity as function of fracture parameter epsilon and porosity. For calculation, penny-shaped random distributed inclusions are assumed. Additional input parameter is the aspect ratio.</w:t>
            </w:r>
          </w:p>
        </w:tc>
      </w:tr>
      <w:tr w:rsidR="0047768F" w:rsidRPr="0047768F" w:rsidTr="0047768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68F" w:rsidRPr="0047768F" w:rsidRDefault="0047768F" w:rsidP="0047768F">
            <w:pPr>
              <w:spacing w:line="264" w:lineRule="auto"/>
              <w:rPr>
                <w:sz w:val="20"/>
              </w:rPr>
            </w:pPr>
            <w:r w:rsidRPr="0047768F">
              <w:rPr>
                <w:sz w:val="20"/>
              </w:rPr>
              <w:t>Inclusion anisotropic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68F" w:rsidRPr="0047768F" w:rsidRDefault="0047768F" w:rsidP="0047768F">
            <w:pPr>
              <w:spacing w:line="264" w:lineRule="auto"/>
              <w:rPr>
                <w:sz w:val="20"/>
              </w:rPr>
            </w:pPr>
            <w:r w:rsidRPr="0047768F">
              <w:rPr>
                <w:b/>
                <w:bCs/>
                <w:sz w:val="20"/>
              </w:rPr>
              <w:t>Hudson’s model</w:t>
            </w:r>
            <w:r w:rsidRPr="0047768F">
              <w:rPr>
                <w:sz w:val="20"/>
              </w:rPr>
              <w:t>: Calculation of the components of the tensor of elasticity based on the assumption of a VTI medium (horizontal cracks). Additional input parameter is the aspect ratio.</w:t>
            </w:r>
          </w:p>
        </w:tc>
      </w:tr>
      <w:tr w:rsidR="0047768F" w:rsidRPr="0047768F" w:rsidTr="0047768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68F" w:rsidRPr="0047768F" w:rsidRDefault="0047768F" w:rsidP="0047768F">
            <w:pPr>
              <w:spacing w:line="264" w:lineRule="auto"/>
              <w:rPr>
                <w:sz w:val="20"/>
              </w:rPr>
            </w:pPr>
            <w:r w:rsidRPr="0047768F">
              <w:rPr>
                <w:sz w:val="20"/>
              </w:rPr>
              <w:t>Fluid replacement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68F" w:rsidRPr="0047768F" w:rsidRDefault="0047768F" w:rsidP="0047768F">
            <w:pPr>
              <w:spacing w:line="264" w:lineRule="auto"/>
              <w:rPr>
                <w:sz w:val="20"/>
              </w:rPr>
            </w:pPr>
            <w:r w:rsidRPr="0047768F">
              <w:rPr>
                <w:b/>
                <w:sz w:val="20"/>
              </w:rPr>
              <w:t>Gassmann:</w:t>
            </w:r>
            <w:r w:rsidRPr="0047768F">
              <w:rPr>
                <w:sz w:val="20"/>
              </w:rPr>
              <w:t xml:space="preserve"> The worksheet allows a fluid replacement based on Gassmann’s equation. Input: compressional and shear wave velocity measured for rock saturated with fluid 1, porosity, compressional modulus and density of fluid 1 and fluid 2. Output: compressional and shear wave velocity for the rock saturated with fluid 2.  </w:t>
            </w:r>
          </w:p>
        </w:tc>
      </w:tr>
      <w:tr w:rsidR="0047768F" w:rsidRPr="0047768F" w:rsidTr="0047768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68F" w:rsidRPr="0047768F" w:rsidRDefault="0047768F" w:rsidP="0047768F">
            <w:pPr>
              <w:spacing w:line="264" w:lineRule="auto"/>
              <w:rPr>
                <w:sz w:val="20"/>
              </w:rPr>
            </w:pPr>
            <w:r w:rsidRPr="0047768F">
              <w:rPr>
                <w:sz w:val="20"/>
              </w:rPr>
              <w:t>Structured model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68F" w:rsidRPr="0047768F" w:rsidRDefault="0047768F" w:rsidP="0047768F">
            <w:pPr>
              <w:spacing w:line="264" w:lineRule="auto"/>
              <w:rPr>
                <w:sz w:val="20"/>
              </w:rPr>
            </w:pPr>
            <w:r w:rsidRPr="0047768F">
              <w:rPr>
                <w:sz w:val="20"/>
              </w:rPr>
              <w:t>There are five worksheets for different velocity influences:</w:t>
            </w:r>
          </w:p>
          <w:p w:rsidR="0047768F" w:rsidRPr="0047768F" w:rsidRDefault="0047768F" w:rsidP="0047768F">
            <w:pPr>
              <w:spacing w:line="264" w:lineRule="auto"/>
              <w:rPr>
                <w:sz w:val="20"/>
              </w:rPr>
            </w:pPr>
            <w:r w:rsidRPr="0047768F">
              <w:rPr>
                <w:b/>
                <w:sz w:val="20"/>
              </w:rPr>
              <w:t>Porosity:</w:t>
            </w:r>
            <w:r w:rsidRPr="0047768F">
              <w:rPr>
                <w:sz w:val="20"/>
              </w:rPr>
              <w:t xml:space="preserve"> Calculation of the porosity effect upon velocity with the quotient of pore aspect ratio to grain aspect ratio as parameter.</w:t>
            </w:r>
          </w:p>
          <w:p w:rsidR="0047768F" w:rsidRPr="0047768F" w:rsidRDefault="0047768F" w:rsidP="0047768F">
            <w:pPr>
              <w:spacing w:line="264" w:lineRule="auto"/>
              <w:rPr>
                <w:sz w:val="20"/>
              </w:rPr>
            </w:pPr>
            <w:r w:rsidRPr="0047768F">
              <w:rPr>
                <w:b/>
                <w:sz w:val="20"/>
              </w:rPr>
              <w:t>Pressure:</w:t>
            </w:r>
            <w:r w:rsidRPr="0047768F">
              <w:rPr>
                <w:sz w:val="20"/>
              </w:rPr>
              <w:t xml:space="preserve"> Calculation of pressure effect upon velocity controlled by parameters of the contact elasticity.</w:t>
            </w:r>
          </w:p>
          <w:p w:rsidR="0047768F" w:rsidRPr="0047768F" w:rsidRDefault="0047768F" w:rsidP="0047768F">
            <w:pPr>
              <w:spacing w:line="264" w:lineRule="auto"/>
              <w:rPr>
                <w:sz w:val="20"/>
              </w:rPr>
            </w:pPr>
            <w:r w:rsidRPr="0047768F">
              <w:rPr>
                <w:b/>
                <w:sz w:val="20"/>
              </w:rPr>
              <w:t>Tensor:</w:t>
            </w:r>
            <w:r w:rsidRPr="0047768F">
              <w:rPr>
                <w:sz w:val="20"/>
              </w:rPr>
              <w:t xml:space="preserve"> Calculation of the components of the “structure tensor” as function of structure angle and contact properties. </w:t>
            </w:r>
          </w:p>
          <w:p w:rsidR="0047768F" w:rsidRPr="0047768F" w:rsidRDefault="0047768F" w:rsidP="0047768F">
            <w:pPr>
              <w:spacing w:line="264" w:lineRule="auto"/>
              <w:rPr>
                <w:sz w:val="20"/>
              </w:rPr>
            </w:pPr>
            <w:r w:rsidRPr="0047768F">
              <w:rPr>
                <w:sz w:val="20"/>
              </w:rPr>
              <w:t xml:space="preserve">Derivation of velocity ratios </w:t>
            </w:r>
            <w:proofErr w:type="spellStart"/>
            <w:r w:rsidRPr="0047768F">
              <w:rPr>
                <w:sz w:val="20"/>
              </w:rPr>
              <w:t>Vp</w:t>
            </w:r>
            <w:proofErr w:type="spellEnd"/>
            <w:r w:rsidRPr="0047768F">
              <w:rPr>
                <w:sz w:val="20"/>
              </w:rPr>
              <w:t>/Vs and Thomson’s anisotropy parameters for the dry rock.</w:t>
            </w:r>
          </w:p>
          <w:p w:rsidR="0047768F" w:rsidRPr="0047768F" w:rsidRDefault="0047768F" w:rsidP="0047768F">
            <w:pPr>
              <w:spacing w:line="264" w:lineRule="auto"/>
              <w:rPr>
                <w:sz w:val="20"/>
              </w:rPr>
            </w:pPr>
            <w:r w:rsidRPr="0047768F">
              <w:rPr>
                <w:b/>
                <w:sz w:val="20"/>
              </w:rPr>
              <w:t>Velocity grids:</w:t>
            </w:r>
            <w:r w:rsidRPr="0047768F">
              <w:rPr>
                <w:sz w:val="20"/>
              </w:rPr>
              <w:t xml:space="preserve"> Grids are calculated with the equations from Table "Tensor". Two parameters are used as input (parameter</w:t>
            </w:r>
            <w:r w:rsidRPr="0047768F">
              <w:rPr>
                <w:noProof/>
                <w:position w:val="-10"/>
                <w:sz w:val="20"/>
                <w:lang w:eastAsia="en-US"/>
              </w:rPr>
              <w:drawing>
                <wp:inline distT="0" distB="0" distL="0" distR="0" wp14:anchorId="5580F32A" wp14:editId="4EFD8041">
                  <wp:extent cx="152400" cy="190500"/>
                  <wp:effectExtent l="0" t="0" r="0" b="0"/>
                  <wp:docPr id="1" name="Bild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768F">
              <w:rPr>
                <w:sz w:val="20"/>
              </w:rPr>
              <w:t xml:space="preserve">, </w:t>
            </w:r>
            <w:proofErr w:type="gramStart"/>
            <w:r w:rsidRPr="0047768F">
              <w:rPr>
                <w:sz w:val="20"/>
              </w:rPr>
              <w:t xml:space="preserve">angle </w:t>
            </w:r>
            <w:proofErr w:type="gramEnd"/>
            <w:r w:rsidRPr="0047768F">
              <w:rPr>
                <w:noProof/>
                <w:position w:val="-6"/>
                <w:sz w:val="20"/>
                <w:lang w:eastAsia="en-US"/>
              </w:rPr>
              <w:drawing>
                <wp:inline distT="0" distB="0" distL="0" distR="0" wp14:anchorId="6E2E09F6" wp14:editId="77412617">
                  <wp:extent cx="152400" cy="152400"/>
                  <wp:effectExtent l="0" t="0" r="0" b="0"/>
                  <wp:docPr id="2" name="Bild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768F">
              <w:rPr>
                <w:sz w:val="20"/>
              </w:rPr>
              <w:t>).</w:t>
            </w:r>
          </w:p>
          <w:p w:rsidR="0047768F" w:rsidRPr="0047768F" w:rsidRDefault="0047768F" w:rsidP="0047768F">
            <w:pPr>
              <w:spacing w:line="264" w:lineRule="auto"/>
              <w:rPr>
                <w:sz w:val="20"/>
              </w:rPr>
            </w:pPr>
            <w:proofErr w:type="spellStart"/>
            <w:r w:rsidRPr="0047768F">
              <w:rPr>
                <w:b/>
                <w:sz w:val="20"/>
              </w:rPr>
              <w:t>Vp</w:t>
            </w:r>
            <w:proofErr w:type="spellEnd"/>
            <w:r w:rsidRPr="0047768F">
              <w:rPr>
                <w:b/>
                <w:sz w:val="20"/>
              </w:rPr>
              <w:t xml:space="preserve"> vs. strength:</w:t>
            </w:r>
            <w:r w:rsidRPr="0047768F">
              <w:rPr>
                <w:sz w:val="20"/>
              </w:rPr>
              <w:t xml:space="preserve"> Calculation of the relationship between velocity (in this case compressional wave velocity) and compressional strength.</w:t>
            </w:r>
            <w:r w:rsidRPr="0047768F">
              <w:rPr>
                <w:sz w:val="20"/>
              </w:rPr>
              <w:tab/>
            </w:r>
          </w:p>
        </w:tc>
      </w:tr>
      <w:tr w:rsidR="0047768F" w:rsidRPr="0047768F" w:rsidTr="0047768F">
        <w:trPr>
          <w:trHeight w:val="598"/>
        </w:trPr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68F" w:rsidRPr="0047768F" w:rsidRDefault="0047768F" w:rsidP="0047768F">
            <w:pPr>
              <w:spacing w:line="264" w:lineRule="auto"/>
            </w:pPr>
            <w:bookmarkStart w:id="2" w:name="_GoBack"/>
            <w:bookmarkEnd w:id="2"/>
            <w:r>
              <w:rPr>
                <w:b/>
                <w:bCs/>
              </w:rPr>
              <w:lastRenderedPageBreak/>
              <w:t>E</w:t>
            </w:r>
            <w:r w:rsidRPr="0047768F">
              <w:rPr>
                <w:b/>
                <w:bCs/>
              </w:rPr>
              <w:t xml:space="preserve">lectrical-thermal </w:t>
            </w:r>
          </w:p>
        </w:tc>
      </w:tr>
      <w:tr w:rsidR="0047768F" w:rsidRPr="0047768F" w:rsidTr="0047768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68F" w:rsidRPr="0047768F" w:rsidRDefault="0047768F" w:rsidP="0047768F">
            <w:pPr>
              <w:spacing w:line="264" w:lineRule="auto"/>
              <w:rPr>
                <w:sz w:val="20"/>
              </w:rPr>
            </w:pPr>
            <w:proofErr w:type="spellStart"/>
            <w:r w:rsidRPr="0047768F">
              <w:rPr>
                <w:sz w:val="20"/>
              </w:rPr>
              <w:t>Layer_bound</w:t>
            </w:r>
            <w:proofErr w:type="spellEnd"/>
            <w:r w:rsidRPr="0047768F">
              <w:rPr>
                <w:sz w:val="20"/>
              </w:rPr>
              <w:t xml:space="preserve"> models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8F" w:rsidRPr="0047768F" w:rsidRDefault="0047768F" w:rsidP="0047768F">
            <w:pPr>
              <w:spacing w:line="264" w:lineRule="auto"/>
              <w:rPr>
                <w:sz w:val="20"/>
              </w:rPr>
            </w:pPr>
            <w:proofErr w:type="spellStart"/>
            <w:r w:rsidRPr="0047768F">
              <w:rPr>
                <w:b/>
                <w:sz w:val="20"/>
              </w:rPr>
              <w:t>Electr</w:t>
            </w:r>
            <w:proofErr w:type="spellEnd"/>
            <w:r w:rsidRPr="0047768F">
              <w:rPr>
                <w:b/>
                <w:sz w:val="20"/>
              </w:rPr>
              <w:t>.-Cond.:</w:t>
            </w:r>
            <w:r w:rsidRPr="0047768F">
              <w:rPr>
                <w:sz w:val="20"/>
              </w:rPr>
              <w:t xml:space="preserve"> Calculation of electrical conductivity of a 2-component material (solid, fluid) as function of porosity. The following equations are used: Voigt model (parallel, upper bound), </w:t>
            </w:r>
            <w:proofErr w:type="spellStart"/>
            <w:r w:rsidRPr="0047768F">
              <w:rPr>
                <w:sz w:val="20"/>
              </w:rPr>
              <w:t>Reuss</w:t>
            </w:r>
            <w:proofErr w:type="spellEnd"/>
            <w:r w:rsidRPr="0047768F">
              <w:rPr>
                <w:sz w:val="20"/>
              </w:rPr>
              <w:t xml:space="preserve"> model (series, lower bound), arithmetic mean, geometric mean, </w:t>
            </w:r>
            <w:proofErr w:type="spellStart"/>
            <w:r w:rsidRPr="0047768F">
              <w:rPr>
                <w:sz w:val="20"/>
              </w:rPr>
              <w:t>Krischer</w:t>
            </w:r>
            <w:proofErr w:type="spellEnd"/>
            <w:r w:rsidRPr="0047768F">
              <w:rPr>
                <w:sz w:val="20"/>
              </w:rPr>
              <w:t xml:space="preserve"> and </w:t>
            </w:r>
            <w:proofErr w:type="spellStart"/>
            <w:r w:rsidRPr="0047768F">
              <w:rPr>
                <w:sz w:val="20"/>
              </w:rPr>
              <w:t>Esdorn</w:t>
            </w:r>
            <w:proofErr w:type="spellEnd"/>
            <w:r w:rsidRPr="0047768F">
              <w:rPr>
                <w:sz w:val="20"/>
              </w:rPr>
              <w:t xml:space="preserve"> model with parameter a, generalized </w:t>
            </w:r>
            <w:proofErr w:type="spellStart"/>
            <w:r w:rsidRPr="0047768F">
              <w:rPr>
                <w:sz w:val="20"/>
              </w:rPr>
              <w:t>Lichtenecker</w:t>
            </w:r>
            <w:proofErr w:type="spellEnd"/>
            <w:r w:rsidRPr="0047768F">
              <w:rPr>
                <w:sz w:val="20"/>
              </w:rPr>
              <w:t xml:space="preserve">-Rother model with </w:t>
            </w:r>
            <w:proofErr w:type="gramStart"/>
            <w:r w:rsidRPr="0047768F">
              <w:rPr>
                <w:sz w:val="20"/>
              </w:rPr>
              <w:t xml:space="preserve">parameter </w:t>
            </w:r>
            <w:proofErr w:type="gramEnd"/>
            <w:r w:rsidRPr="0047768F">
              <w:rPr>
                <w:noProof/>
                <w:position w:val="-6"/>
                <w:sz w:val="20"/>
                <w:lang w:eastAsia="en-US"/>
              </w:rPr>
              <w:drawing>
                <wp:inline distT="0" distB="0" distL="0" distR="0" wp14:anchorId="01A7E05D" wp14:editId="20570D87">
                  <wp:extent cx="152400" cy="152400"/>
                  <wp:effectExtent l="0" t="0" r="0" b="0"/>
                  <wp:docPr id="3" name="Bild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768F">
              <w:rPr>
                <w:sz w:val="20"/>
              </w:rPr>
              <w:t>.</w:t>
            </w:r>
          </w:p>
          <w:p w:rsidR="0047768F" w:rsidRPr="0047768F" w:rsidRDefault="0047768F" w:rsidP="0047768F">
            <w:pPr>
              <w:spacing w:line="264" w:lineRule="auto"/>
              <w:rPr>
                <w:sz w:val="20"/>
              </w:rPr>
            </w:pPr>
            <w:r w:rsidRPr="0047768F">
              <w:rPr>
                <w:b/>
                <w:sz w:val="20"/>
              </w:rPr>
              <w:t>Permittivity:</w:t>
            </w:r>
            <w:r w:rsidRPr="0047768F">
              <w:rPr>
                <w:sz w:val="20"/>
              </w:rPr>
              <w:t xml:space="preserve"> same for permittivity</w:t>
            </w:r>
          </w:p>
          <w:p w:rsidR="0047768F" w:rsidRPr="0047768F" w:rsidRDefault="0047768F" w:rsidP="0047768F">
            <w:pPr>
              <w:spacing w:line="264" w:lineRule="auto"/>
              <w:rPr>
                <w:sz w:val="20"/>
              </w:rPr>
            </w:pPr>
            <w:r w:rsidRPr="0047768F">
              <w:rPr>
                <w:b/>
                <w:sz w:val="20"/>
              </w:rPr>
              <w:t>Therm.-Cond.:</w:t>
            </w:r>
            <w:r w:rsidRPr="0047768F">
              <w:rPr>
                <w:sz w:val="20"/>
              </w:rPr>
              <w:t xml:space="preserve"> same for thermal conductivity</w:t>
            </w:r>
          </w:p>
          <w:p w:rsidR="0047768F" w:rsidRPr="0047768F" w:rsidRDefault="0047768F" w:rsidP="0047768F">
            <w:pPr>
              <w:spacing w:line="264" w:lineRule="auto"/>
              <w:rPr>
                <w:sz w:val="20"/>
              </w:rPr>
            </w:pPr>
            <w:r w:rsidRPr="0047768F">
              <w:rPr>
                <w:b/>
                <w:sz w:val="20"/>
              </w:rPr>
              <w:t>Therm.-Cond. (10):</w:t>
            </w:r>
            <w:r w:rsidRPr="0047768F">
              <w:rPr>
                <w:sz w:val="20"/>
              </w:rPr>
              <w:t xml:space="preserve"> Worksheet for calculation of thermal conductivity of a material consisting of (maximum) 10 components. Input: volume fraction and conductivity of components. </w:t>
            </w:r>
          </w:p>
          <w:p w:rsidR="0047768F" w:rsidRPr="0047768F" w:rsidRDefault="0047768F" w:rsidP="0047768F">
            <w:pPr>
              <w:spacing w:line="264" w:lineRule="auto"/>
              <w:rPr>
                <w:sz w:val="20"/>
              </w:rPr>
            </w:pPr>
            <w:r w:rsidRPr="0047768F">
              <w:rPr>
                <w:sz w:val="20"/>
              </w:rPr>
              <w:t xml:space="preserve">Calculation for following models: Voigt model (parallel, upper bound), </w:t>
            </w:r>
            <w:proofErr w:type="spellStart"/>
            <w:r w:rsidRPr="0047768F">
              <w:rPr>
                <w:sz w:val="20"/>
              </w:rPr>
              <w:t>Reuss</w:t>
            </w:r>
            <w:proofErr w:type="spellEnd"/>
            <w:r w:rsidRPr="0047768F">
              <w:rPr>
                <w:sz w:val="20"/>
              </w:rPr>
              <w:t xml:space="preserve"> model (series, lower bound), </w:t>
            </w:r>
            <w:proofErr w:type="spellStart"/>
            <w:r w:rsidRPr="0047768F">
              <w:rPr>
                <w:sz w:val="20"/>
              </w:rPr>
              <w:t>Krischer</w:t>
            </w:r>
            <w:proofErr w:type="spellEnd"/>
            <w:r w:rsidRPr="0047768F">
              <w:rPr>
                <w:sz w:val="20"/>
              </w:rPr>
              <w:t xml:space="preserve"> and </w:t>
            </w:r>
            <w:proofErr w:type="spellStart"/>
            <w:r w:rsidRPr="0047768F">
              <w:rPr>
                <w:sz w:val="20"/>
              </w:rPr>
              <w:t>Esdorn</w:t>
            </w:r>
            <w:proofErr w:type="spellEnd"/>
            <w:r w:rsidRPr="0047768F">
              <w:rPr>
                <w:sz w:val="20"/>
              </w:rPr>
              <w:t xml:space="preserve"> model with parameter a, generalized </w:t>
            </w:r>
            <w:proofErr w:type="spellStart"/>
            <w:r w:rsidRPr="0047768F">
              <w:rPr>
                <w:sz w:val="20"/>
              </w:rPr>
              <w:t>Lichtenecker</w:t>
            </w:r>
            <w:proofErr w:type="spellEnd"/>
            <w:r w:rsidRPr="0047768F">
              <w:rPr>
                <w:sz w:val="20"/>
              </w:rPr>
              <w:t xml:space="preserve">-Rother model with </w:t>
            </w:r>
            <w:proofErr w:type="gramStart"/>
            <w:r w:rsidRPr="0047768F">
              <w:rPr>
                <w:sz w:val="20"/>
              </w:rPr>
              <w:t xml:space="preserve">parameter </w:t>
            </w:r>
            <w:proofErr w:type="gramEnd"/>
            <w:r w:rsidRPr="0047768F">
              <w:rPr>
                <w:noProof/>
                <w:position w:val="-6"/>
                <w:sz w:val="20"/>
                <w:lang w:eastAsia="en-US"/>
              </w:rPr>
              <w:drawing>
                <wp:inline distT="0" distB="0" distL="0" distR="0" wp14:anchorId="46AEC14C" wp14:editId="393A4A01">
                  <wp:extent cx="152400" cy="152400"/>
                  <wp:effectExtent l="0" t="0" r="0" b="0"/>
                  <wp:docPr id="4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768F">
              <w:rPr>
                <w:sz w:val="20"/>
              </w:rPr>
              <w:t>.</w:t>
            </w:r>
          </w:p>
        </w:tc>
      </w:tr>
      <w:tr w:rsidR="0047768F" w:rsidRPr="0047768F" w:rsidTr="0047768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68F" w:rsidRPr="0047768F" w:rsidRDefault="0047768F" w:rsidP="0047768F">
            <w:pPr>
              <w:spacing w:line="264" w:lineRule="auto"/>
              <w:rPr>
                <w:sz w:val="20"/>
              </w:rPr>
            </w:pPr>
            <w:r w:rsidRPr="0047768F">
              <w:rPr>
                <w:sz w:val="20"/>
              </w:rPr>
              <w:t>Inclusion models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8F" w:rsidRPr="0047768F" w:rsidRDefault="0047768F" w:rsidP="0047768F">
            <w:pPr>
              <w:spacing w:line="264" w:lineRule="auto"/>
              <w:rPr>
                <w:sz w:val="20"/>
              </w:rPr>
            </w:pPr>
            <w:r w:rsidRPr="0047768F">
              <w:rPr>
                <w:sz w:val="20"/>
              </w:rPr>
              <w:t xml:space="preserve">There are three worksheets. All sheets are written for thermal conductivity. </w:t>
            </w:r>
          </w:p>
          <w:p w:rsidR="0047768F" w:rsidRPr="0047768F" w:rsidRDefault="0047768F" w:rsidP="0047768F">
            <w:pPr>
              <w:spacing w:line="264" w:lineRule="auto"/>
              <w:rPr>
                <w:sz w:val="20"/>
              </w:rPr>
            </w:pPr>
            <w:r w:rsidRPr="0047768F">
              <w:rPr>
                <w:sz w:val="20"/>
              </w:rPr>
              <w:t>For calculation of permittivity write in the yellow input cells the matrix and fluid values for permittivity.</w:t>
            </w:r>
          </w:p>
          <w:p w:rsidR="0047768F" w:rsidRPr="0047768F" w:rsidRDefault="0047768F" w:rsidP="0047768F">
            <w:pPr>
              <w:spacing w:line="264" w:lineRule="auto"/>
              <w:rPr>
                <w:sz w:val="20"/>
              </w:rPr>
            </w:pPr>
            <w:r w:rsidRPr="0047768F">
              <w:rPr>
                <w:sz w:val="20"/>
              </w:rPr>
              <w:t xml:space="preserve">For electrical conductivity write as matrix input parameter the matrix conductivity (including </w:t>
            </w:r>
            <w:proofErr w:type="spellStart"/>
            <w:r w:rsidRPr="0047768F">
              <w:rPr>
                <w:sz w:val="20"/>
              </w:rPr>
              <w:t>interparticle</w:t>
            </w:r>
            <w:proofErr w:type="spellEnd"/>
            <w:r w:rsidRPr="0047768F">
              <w:rPr>
                <w:sz w:val="20"/>
              </w:rPr>
              <w:t xml:space="preserve"> porosity) and for fluid conductivity the value for fracture filling fluid.</w:t>
            </w:r>
          </w:p>
          <w:p w:rsidR="0047768F" w:rsidRPr="0047768F" w:rsidRDefault="0047768F" w:rsidP="0047768F">
            <w:pPr>
              <w:spacing w:line="264" w:lineRule="auto"/>
              <w:rPr>
                <w:sz w:val="20"/>
              </w:rPr>
            </w:pPr>
            <w:r w:rsidRPr="0047768F">
              <w:rPr>
                <w:b/>
                <w:sz w:val="20"/>
              </w:rPr>
              <w:t>Spheres:</w:t>
            </w:r>
            <w:r w:rsidRPr="0047768F">
              <w:rPr>
                <w:sz w:val="20"/>
              </w:rPr>
              <w:t xml:space="preserve"> Calculation of thermal conductivity as function of volume fraction for a 2-component material under assumption of</w:t>
            </w:r>
          </w:p>
          <w:p w:rsidR="0047768F" w:rsidRPr="0047768F" w:rsidRDefault="0047768F" w:rsidP="0047768F">
            <w:pPr>
              <w:spacing w:line="264" w:lineRule="auto"/>
              <w:rPr>
                <w:sz w:val="20"/>
              </w:rPr>
            </w:pPr>
            <w:r w:rsidRPr="0047768F">
              <w:rPr>
                <w:sz w:val="20"/>
              </w:rPr>
              <w:t>spherical pores as inclusion in a solid host material,</w:t>
            </w:r>
          </w:p>
          <w:p w:rsidR="0047768F" w:rsidRPr="0047768F" w:rsidRDefault="0047768F" w:rsidP="0047768F">
            <w:pPr>
              <w:spacing w:line="264" w:lineRule="auto"/>
              <w:rPr>
                <w:sz w:val="20"/>
              </w:rPr>
            </w:pPr>
            <w:proofErr w:type="gramStart"/>
            <w:r w:rsidRPr="0047768F">
              <w:rPr>
                <w:sz w:val="20"/>
              </w:rPr>
              <w:t>spherical</w:t>
            </w:r>
            <w:proofErr w:type="gramEnd"/>
            <w:r w:rsidRPr="0047768F">
              <w:rPr>
                <w:sz w:val="20"/>
              </w:rPr>
              <w:t xml:space="preserve"> grains as inclusion in a fluid host material.</w:t>
            </w:r>
          </w:p>
          <w:p w:rsidR="0047768F" w:rsidRPr="0047768F" w:rsidRDefault="0047768F" w:rsidP="0047768F">
            <w:pPr>
              <w:spacing w:line="264" w:lineRule="auto"/>
              <w:rPr>
                <w:sz w:val="20"/>
              </w:rPr>
            </w:pPr>
            <w:r w:rsidRPr="0047768F">
              <w:rPr>
                <w:b/>
                <w:sz w:val="20"/>
              </w:rPr>
              <w:t>Disk-random:</w:t>
            </w:r>
            <w:r w:rsidRPr="0047768F">
              <w:rPr>
                <w:sz w:val="20"/>
              </w:rPr>
              <w:t xml:space="preserve"> Calculation of thermal conductivity as function of volume fraction for a 2-component material under assumption of</w:t>
            </w:r>
          </w:p>
          <w:p w:rsidR="0047768F" w:rsidRPr="0047768F" w:rsidRDefault="0047768F" w:rsidP="0047768F">
            <w:pPr>
              <w:numPr>
                <w:ilvl w:val="0"/>
                <w:numId w:val="9"/>
              </w:numPr>
              <w:spacing w:line="264" w:lineRule="auto"/>
              <w:contextualSpacing/>
              <w:rPr>
                <w:sz w:val="20"/>
              </w:rPr>
            </w:pPr>
            <w:r w:rsidRPr="0047768F">
              <w:rPr>
                <w:sz w:val="20"/>
              </w:rPr>
              <w:t>spherical pores,</w:t>
            </w:r>
          </w:p>
          <w:p w:rsidR="0047768F" w:rsidRPr="0047768F" w:rsidRDefault="0047768F" w:rsidP="0047768F">
            <w:pPr>
              <w:numPr>
                <w:ilvl w:val="0"/>
                <w:numId w:val="9"/>
              </w:numPr>
              <w:spacing w:line="264" w:lineRule="auto"/>
              <w:contextualSpacing/>
              <w:rPr>
                <w:sz w:val="20"/>
              </w:rPr>
            </w:pPr>
            <w:r w:rsidRPr="0047768F">
              <w:rPr>
                <w:sz w:val="20"/>
              </w:rPr>
              <w:t>disk shaped random oriented pores</w:t>
            </w:r>
          </w:p>
          <w:p w:rsidR="0047768F" w:rsidRPr="0047768F" w:rsidRDefault="0047768F" w:rsidP="0047768F">
            <w:pPr>
              <w:numPr>
                <w:ilvl w:val="0"/>
                <w:numId w:val="9"/>
              </w:numPr>
              <w:spacing w:line="264" w:lineRule="auto"/>
              <w:contextualSpacing/>
              <w:rPr>
                <w:sz w:val="20"/>
              </w:rPr>
            </w:pPr>
            <w:proofErr w:type="gramStart"/>
            <w:r w:rsidRPr="0047768F">
              <w:rPr>
                <w:sz w:val="20"/>
              </w:rPr>
              <w:t>as</w:t>
            </w:r>
            <w:proofErr w:type="gramEnd"/>
            <w:r w:rsidRPr="0047768F">
              <w:rPr>
                <w:sz w:val="20"/>
              </w:rPr>
              <w:t xml:space="preserve"> inclusion in a solid host material.</w:t>
            </w:r>
          </w:p>
          <w:p w:rsidR="0047768F" w:rsidRPr="0047768F" w:rsidRDefault="0047768F" w:rsidP="0047768F">
            <w:pPr>
              <w:spacing w:line="264" w:lineRule="auto"/>
              <w:rPr>
                <w:sz w:val="20"/>
              </w:rPr>
            </w:pPr>
            <w:r w:rsidRPr="0047768F">
              <w:rPr>
                <w:b/>
                <w:sz w:val="20"/>
              </w:rPr>
              <w:t>Ellipsoids-oriented:</w:t>
            </w:r>
            <w:r w:rsidRPr="0047768F">
              <w:rPr>
                <w:sz w:val="20"/>
              </w:rPr>
              <w:t xml:space="preserve"> Calculation of thermal conductivity as function of volume fraction for a 2-component material under assumption of </w:t>
            </w:r>
            <w:proofErr w:type="spellStart"/>
            <w:r w:rsidRPr="0047768F">
              <w:rPr>
                <w:sz w:val="20"/>
              </w:rPr>
              <w:t>ellipsoidic</w:t>
            </w:r>
            <w:proofErr w:type="spellEnd"/>
            <w:r w:rsidRPr="0047768F">
              <w:rPr>
                <w:sz w:val="20"/>
              </w:rPr>
              <w:t xml:space="preserve"> inclusions with orientation. Calculations deliver thermal conductivity for x-, y-axis and z-axis. Additional input parameter is aspect ratio.</w:t>
            </w:r>
          </w:p>
        </w:tc>
      </w:tr>
    </w:tbl>
    <w:p w:rsidR="0047768F" w:rsidRPr="0047768F" w:rsidRDefault="0047768F" w:rsidP="0047768F">
      <w:pPr>
        <w:spacing w:line="264" w:lineRule="auto"/>
        <w:rPr>
          <w:b/>
          <w:bCs/>
        </w:rPr>
      </w:pPr>
    </w:p>
    <w:p w:rsidR="004F6CCD" w:rsidRDefault="004F6CCD" w:rsidP="0047768F">
      <w:pPr>
        <w:jc w:val="left"/>
      </w:pPr>
    </w:p>
    <w:sectPr w:rsidR="004F6CCD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1C38D84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120C13C5"/>
    <w:multiLevelType w:val="hybridMultilevel"/>
    <w:tmpl w:val="66122AC6"/>
    <w:lvl w:ilvl="0" w:tplc="0C070015">
      <w:start w:val="1"/>
      <w:numFmt w:val="decimal"/>
      <w:lvlText w:val="(%1)"/>
      <w:lvlJc w:val="left"/>
      <w:pPr>
        <w:ind w:left="720" w:hanging="360"/>
      </w:pPr>
    </w:lvl>
    <w:lvl w:ilvl="1" w:tplc="1A7EB2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3E7E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085C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B6EC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1648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D664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2E96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BE1E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01172"/>
    <w:multiLevelType w:val="hybridMultilevel"/>
    <w:tmpl w:val="E2382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C68B6"/>
    <w:multiLevelType w:val="hybridMultilevel"/>
    <w:tmpl w:val="AD6A5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9822CA"/>
    <w:multiLevelType w:val="multilevel"/>
    <w:tmpl w:val="0C2A1A6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62"/>
        </w:tabs>
        <w:ind w:left="862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0"/>
  </w:num>
  <w:num w:numId="6">
    <w:abstractNumId w:val="0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68F"/>
    <w:rsid w:val="0047768F"/>
    <w:rsid w:val="004F6CCD"/>
    <w:rsid w:val="00823E8A"/>
    <w:rsid w:val="008E58B8"/>
    <w:rsid w:val="009350F5"/>
    <w:rsid w:val="00B0576E"/>
    <w:rsid w:val="00D9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 2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E8A"/>
    <w:pPr>
      <w:jc w:val="both"/>
    </w:pPr>
    <w:rPr>
      <w:rFonts w:ascii="Arial" w:hAnsi="Arial"/>
      <w:sz w:val="22"/>
      <w:lang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E8A"/>
    <w:pPr>
      <w:keepNext/>
      <w:numPr>
        <w:numId w:val="4"/>
      </w:numPr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23E8A"/>
    <w:pPr>
      <w:keepNext/>
      <w:numPr>
        <w:ilvl w:val="1"/>
        <w:numId w:val="4"/>
      </w:numPr>
      <w:spacing w:before="240" w:after="60"/>
      <w:outlineLvl w:val="1"/>
    </w:pPr>
    <w:rPr>
      <w:rFonts w:cs="Arial"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23E8A"/>
    <w:pPr>
      <w:keepNext/>
      <w:numPr>
        <w:ilvl w:val="2"/>
        <w:numId w:val="4"/>
      </w:numPr>
      <w:spacing w:before="240" w:after="60"/>
      <w:outlineLvl w:val="2"/>
    </w:pPr>
    <w:rPr>
      <w:rFonts w:cs="Arial"/>
      <w:sz w:val="24"/>
      <w:lang w:val="en-GB"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823E8A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Cs/>
      <w:i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23E8A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23E8A"/>
    <w:pPr>
      <w:spacing w:before="240" w:after="60"/>
      <w:outlineLvl w:val="5"/>
    </w:pPr>
    <w:rPr>
      <w:rFonts w:cs="Arial"/>
      <w:i/>
      <w:lang w:val="en-GB" w:eastAsia="en-US"/>
    </w:rPr>
  </w:style>
  <w:style w:type="paragraph" w:styleId="Heading7">
    <w:name w:val="heading 7"/>
    <w:basedOn w:val="Normal"/>
    <w:next w:val="Normal"/>
    <w:link w:val="Heading7Char"/>
    <w:qFormat/>
    <w:rsid w:val="00823E8A"/>
    <w:pPr>
      <w:spacing w:before="240" w:after="60"/>
      <w:outlineLvl w:val="6"/>
    </w:pPr>
    <w:rPr>
      <w:rFonts w:cs="Arial"/>
      <w:sz w:val="24"/>
      <w:lang w:val="en-GB" w:eastAsia="en-US"/>
    </w:rPr>
  </w:style>
  <w:style w:type="paragraph" w:styleId="Heading8">
    <w:name w:val="heading 8"/>
    <w:basedOn w:val="Normal"/>
    <w:next w:val="Normal"/>
    <w:link w:val="Heading8Char"/>
    <w:qFormat/>
    <w:rsid w:val="00823E8A"/>
    <w:pPr>
      <w:spacing w:before="240" w:after="60"/>
      <w:outlineLvl w:val="7"/>
    </w:pPr>
    <w:rPr>
      <w:rFonts w:cs="Arial"/>
      <w:i/>
      <w:sz w:val="24"/>
      <w:lang w:val="en-GB" w:eastAsia="en-US"/>
    </w:rPr>
  </w:style>
  <w:style w:type="paragraph" w:styleId="Heading9">
    <w:name w:val="heading 9"/>
    <w:basedOn w:val="Normal"/>
    <w:next w:val="Normal"/>
    <w:link w:val="Heading9Char"/>
    <w:qFormat/>
    <w:rsid w:val="00823E8A"/>
    <w:pPr>
      <w:spacing w:before="240" w:after="60"/>
      <w:outlineLvl w:val="8"/>
    </w:pPr>
    <w:rPr>
      <w:rFonts w:cs="Arial"/>
      <w:b/>
      <w:i/>
      <w:sz w:val="18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">
    <w:name w:val="Figure"/>
    <w:basedOn w:val="Normal"/>
    <w:next w:val="Caption"/>
    <w:qFormat/>
    <w:rsid w:val="00823E8A"/>
    <w:pPr>
      <w:keepNext/>
      <w:spacing w:after="120"/>
      <w:jc w:val="center"/>
    </w:pPr>
    <w:rPr>
      <w:rFonts w:cs="Arial"/>
      <w:bCs/>
      <w:lang w:eastAsia="en-US"/>
    </w:rPr>
  </w:style>
  <w:style w:type="paragraph" w:styleId="Caption">
    <w:name w:val="caption"/>
    <w:basedOn w:val="Normal"/>
    <w:next w:val="Normal"/>
    <w:autoRedefine/>
    <w:qFormat/>
    <w:rsid w:val="00823E8A"/>
    <w:pPr>
      <w:tabs>
        <w:tab w:val="num" w:pos="2160"/>
      </w:tabs>
      <w:spacing w:before="60" w:after="60"/>
    </w:pPr>
    <w:rPr>
      <w:rFonts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823E8A"/>
    <w:rPr>
      <w:rFonts w:ascii="Arial" w:hAnsi="Arial" w:cs="Arial"/>
      <w:b/>
      <w:bCs/>
      <w:kern w:val="32"/>
      <w:sz w:val="24"/>
      <w:szCs w:val="32"/>
      <w:lang w:eastAsia="de-DE"/>
    </w:rPr>
  </w:style>
  <w:style w:type="character" w:customStyle="1" w:styleId="Heading2Char">
    <w:name w:val="Heading 2 Char"/>
    <w:basedOn w:val="DefaultParagraphFont"/>
    <w:link w:val="Heading2"/>
    <w:uiPriority w:val="9"/>
    <w:rsid w:val="00823E8A"/>
    <w:rPr>
      <w:rFonts w:ascii="Arial" w:hAnsi="Arial" w:cs="Arial"/>
      <w:bCs/>
      <w:iCs/>
      <w:sz w:val="24"/>
      <w:szCs w:val="28"/>
      <w:lang w:eastAsia="de-DE"/>
    </w:rPr>
  </w:style>
  <w:style w:type="character" w:customStyle="1" w:styleId="Heading3Char">
    <w:name w:val="Heading 3 Char"/>
    <w:basedOn w:val="DefaultParagraphFont"/>
    <w:link w:val="Heading3"/>
    <w:uiPriority w:val="9"/>
    <w:rsid w:val="00823E8A"/>
    <w:rPr>
      <w:rFonts w:ascii="Arial" w:hAnsi="Arial" w:cs="Arial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823E8A"/>
    <w:rPr>
      <w:bCs/>
      <w:i/>
      <w:sz w:val="28"/>
      <w:szCs w:val="28"/>
      <w:lang w:eastAsia="de-DE"/>
    </w:rPr>
  </w:style>
  <w:style w:type="character" w:customStyle="1" w:styleId="Heading5Char">
    <w:name w:val="Heading 5 Char"/>
    <w:basedOn w:val="DefaultParagraphFont"/>
    <w:link w:val="Heading5"/>
    <w:uiPriority w:val="9"/>
    <w:rsid w:val="00823E8A"/>
    <w:rPr>
      <w:rFonts w:ascii="Calibri" w:hAnsi="Calibri"/>
      <w:b/>
      <w:bCs/>
      <w:i/>
      <w:iCs/>
      <w:sz w:val="26"/>
      <w:szCs w:val="26"/>
      <w:lang w:eastAsia="de-DE"/>
    </w:rPr>
  </w:style>
  <w:style w:type="character" w:customStyle="1" w:styleId="Heading6Char">
    <w:name w:val="Heading 6 Char"/>
    <w:basedOn w:val="DefaultParagraphFont"/>
    <w:link w:val="Heading6"/>
    <w:rsid w:val="00823E8A"/>
    <w:rPr>
      <w:rFonts w:ascii="Arial" w:hAnsi="Arial" w:cs="Arial"/>
      <w:i/>
      <w:sz w:val="22"/>
      <w:lang w:val="en-GB"/>
    </w:rPr>
  </w:style>
  <w:style w:type="character" w:customStyle="1" w:styleId="Heading7Char">
    <w:name w:val="Heading 7 Char"/>
    <w:basedOn w:val="DefaultParagraphFont"/>
    <w:link w:val="Heading7"/>
    <w:rsid w:val="00823E8A"/>
    <w:rPr>
      <w:rFonts w:ascii="Arial" w:hAnsi="Arial" w:cs="Arial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rsid w:val="00823E8A"/>
    <w:rPr>
      <w:rFonts w:ascii="Arial" w:hAnsi="Arial" w:cs="Arial"/>
      <w:i/>
      <w:sz w:val="24"/>
      <w:lang w:val="en-GB"/>
    </w:rPr>
  </w:style>
  <w:style w:type="character" w:customStyle="1" w:styleId="Heading9Char">
    <w:name w:val="Heading 9 Char"/>
    <w:basedOn w:val="DefaultParagraphFont"/>
    <w:link w:val="Heading9"/>
    <w:rsid w:val="00823E8A"/>
    <w:rPr>
      <w:rFonts w:ascii="Arial" w:hAnsi="Arial" w:cs="Arial"/>
      <w:b/>
      <w:i/>
      <w:sz w:val="18"/>
      <w:lang w:val="en-GB"/>
    </w:rPr>
  </w:style>
  <w:style w:type="paragraph" w:styleId="ListBullet2">
    <w:name w:val="List Bullet 2"/>
    <w:basedOn w:val="Normal"/>
    <w:autoRedefine/>
    <w:qFormat/>
    <w:rsid w:val="00823E8A"/>
    <w:pPr>
      <w:numPr>
        <w:numId w:val="6"/>
      </w:numPr>
    </w:pPr>
    <w:rPr>
      <w:rFonts w:cs="Arial"/>
    </w:rPr>
  </w:style>
  <w:style w:type="paragraph" w:styleId="Title">
    <w:name w:val="Title"/>
    <w:basedOn w:val="Normal"/>
    <w:link w:val="TitleChar"/>
    <w:uiPriority w:val="10"/>
    <w:qFormat/>
    <w:rsid w:val="00823E8A"/>
    <w:pPr>
      <w:tabs>
        <w:tab w:val="num" w:pos="2160"/>
      </w:tabs>
      <w:spacing w:before="240" w:after="60"/>
      <w:ind w:left="3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23E8A"/>
    <w:rPr>
      <w:rFonts w:ascii="Cambria" w:hAnsi="Cambria"/>
      <w:b/>
      <w:bCs/>
      <w:kern w:val="28"/>
      <w:sz w:val="32"/>
      <w:szCs w:val="32"/>
      <w:lang w:eastAsia="de-DE"/>
    </w:rPr>
  </w:style>
  <w:style w:type="character" w:styleId="Strong">
    <w:name w:val="Strong"/>
    <w:basedOn w:val="DefaultParagraphFont"/>
    <w:qFormat/>
    <w:rsid w:val="00823E8A"/>
    <w:rPr>
      <w:b/>
      <w:bCs/>
    </w:rPr>
  </w:style>
  <w:style w:type="character" w:styleId="Emphasis">
    <w:name w:val="Emphasis"/>
    <w:basedOn w:val="DefaultParagraphFont"/>
    <w:qFormat/>
    <w:rsid w:val="00823E8A"/>
    <w:rPr>
      <w:i/>
      <w:iCs/>
    </w:rPr>
  </w:style>
  <w:style w:type="paragraph" w:styleId="ListParagraph">
    <w:name w:val="List Paragraph"/>
    <w:basedOn w:val="Normal"/>
    <w:uiPriority w:val="34"/>
    <w:qFormat/>
    <w:rsid w:val="00823E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76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68F"/>
    <w:rPr>
      <w:rFonts w:ascii="Tahoma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 2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E8A"/>
    <w:pPr>
      <w:jc w:val="both"/>
    </w:pPr>
    <w:rPr>
      <w:rFonts w:ascii="Arial" w:hAnsi="Arial"/>
      <w:sz w:val="22"/>
      <w:lang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E8A"/>
    <w:pPr>
      <w:keepNext/>
      <w:numPr>
        <w:numId w:val="4"/>
      </w:numPr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23E8A"/>
    <w:pPr>
      <w:keepNext/>
      <w:numPr>
        <w:ilvl w:val="1"/>
        <w:numId w:val="4"/>
      </w:numPr>
      <w:spacing w:before="240" w:after="60"/>
      <w:outlineLvl w:val="1"/>
    </w:pPr>
    <w:rPr>
      <w:rFonts w:cs="Arial"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23E8A"/>
    <w:pPr>
      <w:keepNext/>
      <w:numPr>
        <w:ilvl w:val="2"/>
        <w:numId w:val="4"/>
      </w:numPr>
      <w:spacing w:before="240" w:after="60"/>
      <w:outlineLvl w:val="2"/>
    </w:pPr>
    <w:rPr>
      <w:rFonts w:cs="Arial"/>
      <w:sz w:val="24"/>
      <w:lang w:val="en-GB"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823E8A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Cs/>
      <w:i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23E8A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23E8A"/>
    <w:pPr>
      <w:spacing w:before="240" w:after="60"/>
      <w:outlineLvl w:val="5"/>
    </w:pPr>
    <w:rPr>
      <w:rFonts w:cs="Arial"/>
      <w:i/>
      <w:lang w:val="en-GB" w:eastAsia="en-US"/>
    </w:rPr>
  </w:style>
  <w:style w:type="paragraph" w:styleId="Heading7">
    <w:name w:val="heading 7"/>
    <w:basedOn w:val="Normal"/>
    <w:next w:val="Normal"/>
    <w:link w:val="Heading7Char"/>
    <w:qFormat/>
    <w:rsid w:val="00823E8A"/>
    <w:pPr>
      <w:spacing w:before="240" w:after="60"/>
      <w:outlineLvl w:val="6"/>
    </w:pPr>
    <w:rPr>
      <w:rFonts w:cs="Arial"/>
      <w:sz w:val="24"/>
      <w:lang w:val="en-GB" w:eastAsia="en-US"/>
    </w:rPr>
  </w:style>
  <w:style w:type="paragraph" w:styleId="Heading8">
    <w:name w:val="heading 8"/>
    <w:basedOn w:val="Normal"/>
    <w:next w:val="Normal"/>
    <w:link w:val="Heading8Char"/>
    <w:qFormat/>
    <w:rsid w:val="00823E8A"/>
    <w:pPr>
      <w:spacing w:before="240" w:after="60"/>
      <w:outlineLvl w:val="7"/>
    </w:pPr>
    <w:rPr>
      <w:rFonts w:cs="Arial"/>
      <w:i/>
      <w:sz w:val="24"/>
      <w:lang w:val="en-GB" w:eastAsia="en-US"/>
    </w:rPr>
  </w:style>
  <w:style w:type="paragraph" w:styleId="Heading9">
    <w:name w:val="heading 9"/>
    <w:basedOn w:val="Normal"/>
    <w:next w:val="Normal"/>
    <w:link w:val="Heading9Char"/>
    <w:qFormat/>
    <w:rsid w:val="00823E8A"/>
    <w:pPr>
      <w:spacing w:before="240" w:after="60"/>
      <w:outlineLvl w:val="8"/>
    </w:pPr>
    <w:rPr>
      <w:rFonts w:cs="Arial"/>
      <w:b/>
      <w:i/>
      <w:sz w:val="18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">
    <w:name w:val="Figure"/>
    <w:basedOn w:val="Normal"/>
    <w:next w:val="Caption"/>
    <w:qFormat/>
    <w:rsid w:val="00823E8A"/>
    <w:pPr>
      <w:keepNext/>
      <w:spacing w:after="120"/>
      <w:jc w:val="center"/>
    </w:pPr>
    <w:rPr>
      <w:rFonts w:cs="Arial"/>
      <w:bCs/>
      <w:lang w:eastAsia="en-US"/>
    </w:rPr>
  </w:style>
  <w:style w:type="paragraph" w:styleId="Caption">
    <w:name w:val="caption"/>
    <w:basedOn w:val="Normal"/>
    <w:next w:val="Normal"/>
    <w:autoRedefine/>
    <w:qFormat/>
    <w:rsid w:val="00823E8A"/>
    <w:pPr>
      <w:tabs>
        <w:tab w:val="num" w:pos="2160"/>
      </w:tabs>
      <w:spacing w:before="60" w:after="60"/>
    </w:pPr>
    <w:rPr>
      <w:rFonts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823E8A"/>
    <w:rPr>
      <w:rFonts w:ascii="Arial" w:hAnsi="Arial" w:cs="Arial"/>
      <w:b/>
      <w:bCs/>
      <w:kern w:val="32"/>
      <w:sz w:val="24"/>
      <w:szCs w:val="32"/>
      <w:lang w:eastAsia="de-DE"/>
    </w:rPr>
  </w:style>
  <w:style w:type="character" w:customStyle="1" w:styleId="Heading2Char">
    <w:name w:val="Heading 2 Char"/>
    <w:basedOn w:val="DefaultParagraphFont"/>
    <w:link w:val="Heading2"/>
    <w:uiPriority w:val="9"/>
    <w:rsid w:val="00823E8A"/>
    <w:rPr>
      <w:rFonts w:ascii="Arial" w:hAnsi="Arial" w:cs="Arial"/>
      <w:bCs/>
      <w:iCs/>
      <w:sz w:val="24"/>
      <w:szCs w:val="28"/>
      <w:lang w:eastAsia="de-DE"/>
    </w:rPr>
  </w:style>
  <w:style w:type="character" w:customStyle="1" w:styleId="Heading3Char">
    <w:name w:val="Heading 3 Char"/>
    <w:basedOn w:val="DefaultParagraphFont"/>
    <w:link w:val="Heading3"/>
    <w:uiPriority w:val="9"/>
    <w:rsid w:val="00823E8A"/>
    <w:rPr>
      <w:rFonts w:ascii="Arial" w:hAnsi="Arial" w:cs="Arial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823E8A"/>
    <w:rPr>
      <w:bCs/>
      <w:i/>
      <w:sz w:val="28"/>
      <w:szCs w:val="28"/>
      <w:lang w:eastAsia="de-DE"/>
    </w:rPr>
  </w:style>
  <w:style w:type="character" w:customStyle="1" w:styleId="Heading5Char">
    <w:name w:val="Heading 5 Char"/>
    <w:basedOn w:val="DefaultParagraphFont"/>
    <w:link w:val="Heading5"/>
    <w:uiPriority w:val="9"/>
    <w:rsid w:val="00823E8A"/>
    <w:rPr>
      <w:rFonts w:ascii="Calibri" w:hAnsi="Calibri"/>
      <w:b/>
      <w:bCs/>
      <w:i/>
      <w:iCs/>
      <w:sz w:val="26"/>
      <w:szCs w:val="26"/>
      <w:lang w:eastAsia="de-DE"/>
    </w:rPr>
  </w:style>
  <w:style w:type="character" w:customStyle="1" w:styleId="Heading6Char">
    <w:name w:val="Heading 6 Char"/>
    <w:basedOn w:val="DefaultParagraphFont"/>
    <w:link w:val="Heading6"/>
    <w:rsid w:val="00823E8A"/>
    <w:rPr>
      <w:rFonts w:ascii="Arial" w:hAnsi="Arial" w:cs="Arial"/>
      <w:i/>
      <w:sz w:val="22"/>
      <w:lang w:val="en-GB"/>
    </w:rPr>
  </w:style>
  <w:style w:type="character" w:customStyle="1" w:styleId="Heading7Char">
    <w:name w:val="Heading 7 Char"/>
    <w:basedOn w:val="DefaultParagraphFont"/>
    <w:link w:val="Heading7"/>
    <w:rsid w:val="00823E8A"/>
    <w:rPr>
      <w:rFonts w:ascii="Arial" w:hAnsi="Arial" w:cs="Arial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rsid w:val="00823E8A"/>
    <w:rPr>
      <w:rFonts w:ascii="Arial" w:hAnsi="Arial" w:cs="Arial"/>
      <w:i/>
      <w:sz w:val="24"/>
      <w:lang w:val="en-GB"/>
    </w:rPr>
  </w:style>
  <w:style w:type="character" w:customStyle="1" w:styleId="Heading9Char">
    <w:name w:val="Heading 9 Char"/>
    <w:basedOn w:val="DefaultParagraphFont"/>
    <w:link w:val="Heading9"/>
    <w:rsid w:val="00823E8A"/>
    <w:rPr>
      <w:rFonts w:ascii="Arial" w:hAnsi="Arial" w:cs="Arial"/>
      <w:b/>
      <w:i/>
      <w:sz w:val="18"/>
      <w:lang w:val="en-GB"/>
    </w:rPr>
  </w:style>
  <w:style w:type="paragraph" w:styleId="ListBullet2">
    <w:name w:val="List Bullet 2"/>
    <w:basedOn w:val="Normal"/>
    <w:autoRedefine/>
    <w:qFormat/>
    <w:rsid w:val="00823E8A"/>
    <w:pPr>
      <w:numPr>
        <w:numId w:val="6"/>
      </w:numPr>
    </w:pPr>
    <w:rPr>
      <w:rFonts w:cs="Arial"/>
    </w:rPr>
  </w:style>
  <w:style w:type="paragraph" w:styleId="Title">
    <w:name w:val="Title"/>
    <w:basedOn w:val="Normal"/>
    <w:link w:val="TitleChar"/>
    <w:uiPriority w:val="10"/>
    <w:qFormat/>
    <w:rsid w:val="00823E8A"/>
    <w:pPr>
      <w:tabs>
        <w:tab w:val="num" w:pos="2160"/>
      </w:tabs>
      <w:spacing w:before="240" w:after="60"/>
      <w:ind w:left="3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23E8A"/>
    <w:rPr>
      <w:rFonts w:ascii="Cambria" w:hAnsi="Cambria"/>
      <w:b/>
      <w:bCs/>
      <w:kern w:val="28"/>
      <w:sz w:val="32"/>
      <w:szCs w:val="32"/>
      <w:lang w:eastAsia="de-DE"/>
    </w:rPr>
  </w:style>
  <w:style w:type="character" w:styleId="Strong">
    <w:name w:val="Strong"/>
    <w:basedOn w:val="DefaultParagraphFont"/>
    <w:qFormat/>
    <w:rsid w:val="00823E8A"/>
    <w:rPr>
      <w:b/>
      <w:bCs/>
    </w:rPr>
  </w:style>
  <w:style w:type="character" w:styleId="Emphasis">
    <w:name w:val="Emphasis"/>
    <w:basedOn w:val="DefaultParagraphFont"/>
    <w:qFormat/>
    <w:rsid w:val="00823E8A"/>
    <w:rPr>
      <w:i/>
      <w:iCs/>
    </w:rPr>
  </w:style>
  <w:style w:type="paragraph" w:styleId="ListParagraph">
    <w:name w:val="List Paragraph"/>
    <w:basedOn w:val="Normal"/>
    <w:uiPriority w:val="34"/>
    <w:qFormat/>
    <w:rsid w:val="00823E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76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68F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5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Schoen</dc:creator>
  <cp:lastModifiedBy>Reed Elsevier</cp:lastModifiedBy>
  <cp:revision>2</cp:revision>
  <dcterms:created xsi:type="dcterms:W3CDTF">2015-09-14T16:55:00Z</dcterms:created>
  <dcterms:modified xsi:type="dcterms:W3CDTF">2015-10-06T13:16:00Z</dcterms:modified>
</cp:coreProperties>
</file>